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文安县文化广电新闻出版（版权）局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文安县文化广电新闻出版（版权）局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（一）贯彻国家和省、市关于文化艺术、广播电影电视、新闻出版、版权、文物工作的方针、政策和法规，研究拟定我县文化艺术、广播电影电视、新闻出版、版权、文物工作方针、政策，并监督实施。</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（二）拟定全县文化艺术、文物、广播电影电视、新闻出版事业发展规划并组织实施，推进文化艺术、广播电影电视、新闻出版领域的体制机制改革。</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（三）指导、管理全县文化艺术、广播电影电视、新闻出版事业，指导艺术创作与生产，推动各门类艺术的发展，管理全县性重大文化活动，开展对外文化交流工作。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（四）负责推动全县文化艺术领域的公共文化服务，规划、引导公共文化产品生产，指导县重点文化设施建设和基层文化设施建设，对文化艺术经营活动进行行业监管，对全县从事演艺活动的民办机构进行监管。</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（五）指导、管理全县社会文化事业，指导图书馆、文化馆（站）、博物馆发展建设。</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（六）拟定全县非物质文化遗产保护规划及规定，组织实施非物质文化遗产保护和优秀民族文化的传承普及工作。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（七）拟定全县文化市场发展规划，指导文化市场综合执法工作。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（八）拟定全县文化艺术、广播电影电视、新闻出版产业发展规划，指导、协调文化艺术、广播电影电视、新闻出版产业发展，推进对外文化产业交流与合作。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（九）负责全县文艺类产品的网上传播和前置审核工作，指导全县互联网上网、歌舞娱乐和电子游戏经营场所及演出团体实行许可证管理。</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（十）拟定全县动漫、游戏产业发展规划并组织实施；指导协调动漫、游戏产业发展，负责动漫、网络游戏管理及相关产业规划、产业基地、项目建设、会展交易和市场监管。</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（十一）负责新闻出版从业人员职业资格管理和职业技能鉴定工作；协助省、市新闻出版局对全县新闻单位记者证的管理工作，负责县内报刊社、记者站的监管工作，组织查处新闻违法活动。</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（十二）监管全县出版活动，组织查处非法出版物和非法出版活动；对新闻出版单位和出版物内容进行监管；拟定全县出版市场和互联网“扫黄打非”计划并组织实施；负责著作权管理工作。负责印刷业的监管。</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三）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（十四）组织推进全县广播电影电视领域公共服务，组织实施全县广播电影电视重大工程，指导和监管全县广播电影电视重点基础设施建设；负责全县电影发行、放映管理工作。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五）对全县各级广播电视出版机构和广播电视节目、电视剧制作单位的建设和撤销进行审核；对发放或吊销电视剧制作和发行许可证进行审核；监管全县广播电影电视节目、信息网络视听节目和公共视听载体播放的视听节目，审查其内容和质量；协调各相关部门在广播电影电视事业建设方面的事项。</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（十六）研究拟定全县广播电影电视和信息网络视听节目服务的相关技术标准和部门规范性文件；监督管理全县广播电影电视和信息网络视听节目服务机构。</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（十七）指导全县广播电影电视节目、信息网络视听节目服务科技工作；负责监管全县广播电影电视节目传输、监测和安全播出；拟定全县广播影视传输覆盖网和监测监管网的规划，指导其分级建设和开发工作。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（十八）贯彻执行国家、省、市制定的体育发展规划和政策法规；拟定我县体育工作发展规划和政策，起草有关体育方面的地方性管理办法。</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九）研究全县体育发展战略，协调区域性体育发展；拟定体育产业发展规划、政策，规范体育服务管理，推动体育标准化建设；负责推动多元化体育服务体系建设，推动体育公共服务和体育体制改革；负责指导全县性体育社团工作；负责涉及体育外事相关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（二十）统筹规划群众体育、青少年体育发展；负责推行全民健身计划，监督实施国家体育锻炼标准，推动国民体质监测；指导公共体育设施建设；负责公共体育设施的监督管理工作。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（二十一）统筹规划全县竞技体育发展；负责全县体育竞赛、竞技运动项目的设置和布局工作；组织参加和承办相关体育竞赛；指导体育管理人员、教练员、运动员队伍建设；负责组织开展反兴奋剂工作。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（二十二）贯彻落实国家、省、市及县委、县政府关于开展旅游业的方针政策，拟定全县旅游发展规划并组织实施；负责管理全县旅游行业及从业人员。</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（二十三）承办县政府交办的其他事项。</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文安县文化市场行政执法队</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（一）贯彻执行党和国家有关文化、广播影视、出版物市场管理的法律、法规和方针、政策；研究拟定全县文化市场行政执法工作的规范性文件、总体规划和年度计划并组织实施。</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 xml:space="preserve">（二）依据有关法律、法规、规章和政策规定，行使对文化市场管理的行政处罚权，以及与行政处罚权相关的行政强制权和行政检查权。 </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（三）负责查处跨县重大案件，组织全县性治理文化市场专项行动。</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（四）负责管理全县文化市场,管理以商品形式进入流通领域的文化精神产品和文化娱乐经营活动,包括歌舞娱乐市场、网吧、音像市场、电子游戏、图书市场、演出市场、文物市场、</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 美术市场、电子市场、营业性艺术培训市场等。查处上述经营活动中的违法违规行为和非法安装、擅自使用卫星电视广播地面接收设施的行为。</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（五）负责查处侵权盗版行为。</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（六）负责对文化行政执法人员的业务培训、考核评比工作。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（七）负责受理对文化市场违法行为的投诉、举报。</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（八）承担县“扫黄打非”工作领导小组办公室的日常工作。</w:t>
      </w:r>
    </w:p>
    <w:p>
      <w:pPr>
        <w:ind w:firstLine="640" w:firstLineChars="200"/>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（九）承办县政府及上级主管机关交办的其它事项。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文安县文化广电新闻出版（版权）局(本级)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宋体" w:hAnsi="宋体" w:cs="宋体"/>
                <w:kern w:val="0"/>
                <w:sz w:val="28"/>
                <w:szCs w:val="28"/>
              </w:rPr>
              <w:t>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int="eastAsia"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jc w:val="center"/>
        <w:rPr>
          <w:rFonts w:hint="eastAsia" w:eastAsiaTheme="minorEastAsia"/>
          <w:color w:val="000000" w:themeColor="text1"/>
          <w:sz w:val="72"/>
          <w:szCs w:val="96"/>
          <w:lang w:eastAsia="zh-CN"/>
        </w:rPr>
      </w:pPr>
      <w:r>
        <w:rPr>
          <w:rFonts w:hint="eastAsia" w:hAnsi="宋体" w:asciiTheme="minorEastAsia" w:eastAsiaTheme="minorEastAsia"/>
          <w:color w:val="000000" w:themeColor="text1"/>
          <w:sz w:val="72"/>
          <w:szCs w:val="96"/>
          <w:lang w:eastAsia="zh-CN"/>
        </w:rPr>
        <w:t>（见附表）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总计（含结转和结余）</w:t>
      </w:r>
      <w:r>
        <w:rPr>
          <w:rFonts w:hint="eastAsia" w:ascii="仿宋_GB2312" w:eastAsia="仿宋_GB2312" w:cs="DengXian-Regular"/>
          <w:sz w:val="32"/>
          <w:szCs w:val="32"/>
          <w:lang w:val="en-US" w:eastAsia="zh-CN"/>
        </w:rPr>
        <w:t>13533.2</w:t>
      </w:r>
      <w:r>
        <w:rPr>
          <w:rFonts w:hint="eastAsia" w:ascii="仿宋_GB2312" w:eastAsia="仿宋_GB2312" w:cs="DengXian-Regular"/>
          <w:sz w:val="32"/>
          <w:szCs w:val="32"/>
        </w:rPr>
        <w:t>万元。</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12451.93</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1081.28</w:t>
      </w:r>
      <w:r>
        <w:rPr>
          <w:rFonts w:hint="eastAsia" w:ascii="仿宋_GB2312" w:hAnsi="仿宋_GB2312" w:eastAsia="仿宋_GB2312" w:cs="仿宋_GB2312"/>
          <w:sz w:val="32"/>
          <w:szCs w:val="32"/>
        </w:rPr>
        <w:t>万元。</w:t>
      </w:r>
      <w:r>
        <w:rPr>
          <w:rFonts w:hint="eastAsia" w:ascii="仿宋_GB2312" w:eastAsia="仿宋_GB2312" w:cs="DengXian-Regular"/>
          <w:sz w:val="32"/>
          <w:szCs w:val="32"/>
        </w:rPr>
        <w:t>与2017年度决算相比，收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12302.66</w:t>
      </w:r>
      <w:r>
        <w:rPr>
          <w:rFonts w:hint="eastAsia" w:ascii="仿宋_GB2312" w:eastAsia="仿宋_GB2312" w:cs="DengXian-Regular"/>
          <w:sz w:val="32"/>
          <w:szCs w:val="32"/>
        </w:rPr>
        <w:t>万元，增长</w:t>
      </w:r>
      <w:r>
        <w:rPr>
          <w:rFonts w:hint="eastAsia" w:ascii="仿宋_GB2312" w:eastAsia="仿宋_GB2312" w:cs="DengXian-Regular"/>
          <w:color w:val="auto"/>
          <w:sz w:val="32"/>
          <w:szCs w:val="32"/>
        </w:rPr>
        <w:t>1</w:t>
      </w:r>
      <w:r>
        <w:rPr>
          <w:rFonts w:hint="eastAsia" w:ascii="仿宋_GB2312" w:eastAsia="仿宋_GB2312" w:cs="DengXian-Regular"/>
          <w:color w:val="auto"/>
          <w:sz w:val="32"/>
          <w:szCs w:val="32"/>
          <w:lang w:val="en-US" w:eastAsia="zh-CN"/>
        </w:rPr>
        <w:t>0</w:t>
      </w:r>
      <w:r>
        <w:rPr>
          <w:rFonts w:hint="eastAsia" w:ascii="仿宋_GB2312" w:eastAsia="仿宋_GB2312" w:cs="DengXian-Regular"/>
          <w:sz w:val="32"/>
          <w:szCs w:val="32"/>
        </w:rPr>
        <w:t>%，</w:t>
      </w:r>
      <w:r>
        <w:rPr>
          <w:rFonts w:hint="eastAsia" w:ascii="仿宋_GB2312" w:hAnsi="仿宋_GB2312" w:eastAsia="仿宋_GB2312" w:cs="仿宋_GB2312"/>
          <w:sz w:val="32"/>
          <w:szCs w:val="32"/>
        </w:rPr>
        <w:t>本年支出增加</w:t>
      </w:r>
      <w:r>
        <w:rPr>
          <w:rFonts w:hint="eastAsia" w:ascii="仿宋_GB2312" w:hAnsi="仿宋_GB2312" w:eastAsia="仿宋_GB2312" w:cs="仿宋_GB2312"/>
          <w:sz w:val="32"/>
          <w:szCs w:val="32"/>
          <w:lang w:val="en-US" w:eastAsia="zh-CN"/>
        </w:rPr>
        <w:t>11115.19</w:t>
      </w:r>
      <w:r>
        <w:rPr>
          <w:rFonts w:hint="eastAsia" w:ascii="仿宋_GB2312" w:hAnsi="仿宋_GB2312" w:eastAsia="仿宋_GB2312" w:cs="仿宋_GB2312"/>
          <w:sz w:val="32"/>
          <w:szCs w:val="32"/>
        </w:rPr>
        <w:t>万元，增长</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sz w:val="32"/>
          <w:szCs w:val="32"/>
        </w:rPr>
        <w:t>%，</w:t>
      </w:r>
      <w:r>
        <w:rPr>
          <w:rFonts w:hint="eastAsia" w:ascii="仿宋_GB2312" w:eastAsia="仿宋_GB2312" w:cs="DengXian-Regular"/>
          <w:sz w:val="32"/>
          <w:szCs w:val="32"/>
        </w:rPr>
        <w:t>主要是</w:t>
      </w:r>
      <w:bookmarkStart w:id="0" w:name="_GoBack"/>
      <w:bookmarkEnd w:id="0"/>
      <w:r>
        <w:rPr>
          <w:rFonts w:hint="eastAsia" w:ascii="仿宋_GB2312" w:eastAsia="仿宋_GB2312" w:cs="DengXian-Regular"/>
          <w:sz w:val="32"/>
          <w:szCs w:val="32"/>
        </w:rPr>
        <w:t>人员经费</w:t>
      </w:r>
      <w:r>
        <w:rPr>
          <w:rFonts w:hint="eastAsia" w:ascii="仿宋_GB2312" w:eastAsia="仿宋_GB2312" w:cs="DengXian-Regular"/>
          <w:sz w:val="32"/>
          <w:szCs w:val="32"/>
          <w:lang w:eastAsia="zh-CN"/>
        </w:rPr>
        <w:t>和项目</w:t>
      </w:r>
      <w:r>
        <w:rPr>
          <w:rFonts w:hint="eastAsia" w:ascii="仿宋_GB2312" w:eastAsia="仿宋_GB2312" w:cs="DengXian-Regular"/>
          <w:sz w:val="32"/>
          <w:szCs w:val="32"/>
        </w:rPr>
        <w:t>的增加。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13533.2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13533.2</w:t>
      </w:r>
      <w:r>
        <w:rPr>
          <w:rFonts w:hint="eastAsia" w:ascii="仿宋_GB2312" w:eastAsia="仿宋_GB2312" w:cs="DengXian-Regular"/>
          <w:sz w:val="32"/>
          <w:szCs w:val="32"/>
        </w:rPr>
        <w:t>万元，占100%；事业收入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pStyle w:val="3"/>
        <w:spacing w:before="0" w:after="0" w:line="580" w:lineRule="exact"/>
        <w:ind w:firstLine="643"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宋体" w:hAnsi="宋体" w:cs="宋体"/>
          <w:sz w:val="32"/>
          <w:szCs w:val="32"/>
          <w:lang w:val="en-US" w:eastAsia="zh-CN"/>
        </w:rPr>
        <w:t>12451.93</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520.52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%；项目支出</w:t>
      </w:r>
      <w:r>
        <w:rPr>
          <w:rFonts w:hint="eastAsia" w:ascii="宋体" w:hAnsi="宋体" w:cs="宋体"/>
          <w:sz w:val="32"/>
          <w:szCs w:val="32"/>
          <w:lang w:val="en-US" w:eastAsia="zh-CN"/>
        </w:rPr>
        <w:t>11931.41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13533.2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12302.66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%，主要是人员经费增加；本年支出</w:t>
      </w:r>
      <w:r>
        <w:rPr>
          <w:rFonts w:hint="eastAsia" w:ascii="仿宋_GB2312" w:eastAsia="仿宋_GB2312" w:cs="DengXian-Regular"/>
          <w:sz w:val="32"/>
          <w:szCs w:val="32"/>
          <w:lang w:val="en-US" w:eastAsia="zh-CN"/>
        </w:rPr>
        <w:t>12451.93</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11115.19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%，主要是人员经费</w:t>
      </w:r>
      <w:r>
        <w:rPr>
          <w:rFonts w:hint="eastAsia" w:ascii="仿宋_GB2312" w:eastAsia="仿宋_GB2312" w:cs="DengXian-Regular"/>
          <w:sz w:val="32"/>
          <w:szCs w:val="32"/>
          <w:lang w:eastAsia="zh-CN"/>
        </w:rPr>
        <w:t>和项目</w:t>
      </w:r>
      <w:r>
        <w:rPr>
          <w:rFonts w:hint="eastAsia" w:ascii="仿宋_GB2312" w:eastAsia="仿宋_GB2312" w:cs="DengXian-Regular"/>
          <w:sz w:val="32"/>
          <w:szCs w:val="32"/>
        </w:rPr>
        <w:t>的增加。</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13216.38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112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12182.82</w:t>
      </w:r>
      <w:r>
        <w:rPr>
          <w:rFonts w:hint="eastAsia" w:ascii="仿宋_GB2312" w:eastAsia="仿宋_GB2312" w:cs="DengXian-Regular"/>
          <w:sz w:val="32"/>
          <w:szCs w:val="32"/>
        </w:rPr>
        <w:t>万元，决算数大于预算数主要是2018年7月份调整机关工作人员工资</w:t>
      </w:r>
      <w:r>
        <w:rPr>
          <w:rFonts w:hint="eastAsia" w:ascii="仿宋_GB2312" w:eastAsia="仿宋_GB2312" w:cs="DengXian-Regular"/>
          <w:sz w:val="32"/>
          <w:szCs w:val="32"/>
          <w:lang w:eastAsia="zh-CN"/>
        </w:rPr>
        <w:t>和项目费用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12451.93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11115.19</w:t>
      </w:r>
      <w:r>
        <w:rPr>
          <w:rFonts w:hint="eastAsia" w:ascii="仿宋_GB2312" w:eastAsia="仿宋_GB2312" w:cs="DengXian-Regular"/>
          <w:sz w:val="32"/>
          <w:szCs w:val="32"/>
        </w:rPr>
        <w:t>万元，决算数大于预算数主要是人员经费</w:t>
      </w:r>
      <w:r>
        <w:rPr>
          <w:rFonts w:hint="eastAsia" w:ascii="仿宋_GB2312" w:eastAsia="仿宋_GB2312" w:cs="DengXian-Regular"/>
          <w:sz w:val="32"/>
          <w:szCs w:val="32"/>
          <w:lang w:eastAsia="zh-CN"/>
        </w:rPr>
        <w:t>和项目费用</w:t>
      </w:r>
      <w:r>
        <w:rPr>
          <w:rFonts w:hint="eastAsia" w:ascii="仿宋_GB2312" w:eastAsia="仿宋_GB2312" w:cs="DengXian-Regular"/>
          <w:sz w:val="32"/>
          <w:szCs w:val="32"/>
        </w:rPr>
        <w:t>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12451.93</w:t>
      </w:r>
      <w:r>
        <w:rPr>
          <w:rFonts w:hint="eastAsia" w:ascii="仿宋_GB2312" w:eastAsia="仿宋_GB2312" w:cs="DengXian-Regular"/>
          <w:sz w:val="32"/>
          <w:szCs w:val="32"/>
        </w:rPr>
        <w:t>万元，主要用于</w:t>
      </w:r>
      <w:r>
        <w:rPr>
          <w:rFonts w:hint="eastAsia" w:ascii="仿宋_GB2312" w:eastAsia="仿宋_GB2312" w:cs="DengXian-Regular"/>
          <w:sz w:val="32"/>
          <w:szCs w:val="32"/>
          <w:lang w:eastAsia="zh-CN"/>
        </w:rPr>
        <w:t>基本</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520.52</w:t>
      </w:r>
      <w:r>
        <w:rPr>
          <w:rFonts w:hint="eastAsia" w:ascii="仿宋_GB2312" w:eastAsia="仿宋_GB2312" w:cs="DengXian-Regular"/>
          <w:sz w:val="32"/>
          <w:szCs w:val="32"/>
        </w:rPr>
        <w:t>万元，占</w:t>
      </w:r>
      <w:r>
        <w:rPr>
          <w:rFonts w:hint="eastAsia" w:ascii="宋体" w:hAnsi="宋体" w:eastAsia="仿宋_GB2312" w:cs="宋体"/>
          <w:sz w:val="32"/>
          <w:szCs w:val="32"/>
          <w:lang w:val="en-US" w:eastAsia="zh-CN"/>
        </w:rPr>
        <w:t>4</w:t>
      </w:r>
      <w:r>
        <w:rPr>
          <w:rFonts w:hint="eastAsia" w:ascii="仿宋_GB2312" w:eastAsia="仿宋_GB2312" w:cs="DengXian-Regular"/>
          <w:sz w:val="32"/>
          <w:szCs w:val="32"/>
        </w:rPr>
        <w:t>%；</w:t>
      </w:r>
      <w:r>
        <w:rPr>
          <w:rFonts w:hint="eastAsia" w:ascii="仿宋_GB2312" w:eastAsia="仿宋_GB2312" w:cs="DengXian-Regular"/>
          <w:sz w:val="32"/>
          <w:szCs w:val="32"/>
          <w:lang w:eastAsia="zh-CN"/>
        </w:rPr>
        <w:t>项目</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11931.41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96%。</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520.52</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511.62</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8.90</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1.50</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color w:val="auto"/>
          <w:sz w:val="32"/>
          <w:szCs w:val="32"/>
          <w:lang w:val="en-US" w:eastAsia="zh-CN"/>
        </w:rPr>
        <w:t>2.16</w:t>
      </w:r>
      <w:r>
        <w:rPr>
          <w:rFonts w:eastAsia="仿宋_GB2312"/>
          <w:sz w:val="32"/>
          <w:szCs w:val="32"/>
        </w:rPr>
        <w:t>万元，降低</w:t>
      </w:r>
      <w:r>
        <w:rPr>
          <w:rFonts w:hint="eastAsia" w:eastAsia="仿宋_GB2312"/>
          <w:sz w:val="32"/>
          <w:szCs w:val="32"/>
          <w:lang w:val="en-US" w:eastAsia="zh-CN"/>
        </w:rPr>
        <w:t>59</w:t>
      </w:r>
      <w:r>
        <w:rPr>
          <w:rFonts w:eastAsia="仿宋_GB2312"/>
          <w:sz w:val="32"/>
          <w:szCs w:val="32"/>
        </w:rPr>
        <w:t>%，主要是</w:t>
      </w:r>
      <w:r>
        <w:rPr>
          <w:rFonts w:hint="eastAsia" w:eastAsia="仿宋_GB2312"/>
          <w:sz w:val="32"/>
          <w:szCs w:val="32"/>
        </w:rPr>
        <w:t>公务</w:t>
      </w:r>
      <w:r>
        <w:rPr>
          <w:rFonts w:hint="eastAsia" w:eastAsia="仿宋_GB2312"/>
          <w:sz w:val="32"/>
          <w:szCs w:val="32"/>
          <w:lang w:eastAsia="zh-CN"/>
        </w:rPr>
        <w:t>用车运行费</w:t>
      </w:r>
      <w:r>
        <w:rPr>
          <w:rFonts w:hint="eastAsia" w:eastAsia="仿宋_GB2312"/>
          <w:sz w:val="32"/>
          <w:szCs w:val="32"/>
        </w:rPr>
        <w:t>的减少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0.28</w:t>
      </w:r>
      <w:r>
        <w:rPr>
          <w:rFonts w:eastAsia="仿宋_GB2312"/>
          <w:sz w:val="32"/>
          <w:szCs w:val="32"/>
        </w:rPr>
        <w:t>万元，增长</w:t>
      </w:r>
      <w:r>
        <w:rPr>
          <w:rFonts w:hint="eastAsia" w:eastAsia="仿宋_GB2312"/>
          <w:sz w:val="32"/>
          <w:szCs w:val="32"/>
          <w:lang w:val="en-US" w:eastAsia="zh-CN"/>
        </w:rPr>
        <w:t>23</w:t>
      </w:r>
      <w:r>
        <w:rPr>
          <w:rFonts w:eastAsia="仿宋_GB2312"/>
          <w:sz w:val="32"/>
          <w:szCs w:val="32"/>
        </w:rPr>
        <w:t>%，主要是</w:t>
      </w:r>
      <w:r>
        <w:rPr>
          <w:rFonts w:hint="eastAsia" w:eastAsia="仿宋_GB2312"/>
          <w:sz w:val="32"/>
          <w:szCs w:val="32"/>
        </w:rPr>
        <w:t>因为2018年</w:t>
      </w:r>
      <w:r>
        <w:rPr>
          <w:rFonts w:hint="eastAsia" w:eastAsia="仿宋_GB2312"/>
          <w:sz w:val="32"/>
          <w:szCs w:val="32"/>
          <w:lang w:eastAsia="zh-CN"/>
        </w:rPr>
        <w:t>公务接待增加了</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0.24</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1.86</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88.6</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压减公务用车支出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0.88</w:t>
      </w:r>
      <w:r>
        <w:rPr>
          <w:rFonts w:eastAsia="仿宋_GB2312"/>
          <w:sz w:val="32"/>
          <w:szCs w:val="32"/>
        </w:rPr>
        <w:t>万元，降低</w:t>
      </w:r>
      <w:r>
        <w:rPr>
          <w:rFonts w:hint="eastAsia" w:eastAsia="仿宋_GB2312"/>
          <w:sz w:val="32"/>
          <w:szCs w:val="32"/>
          <w:lang w:val="en-US" w:eastAsia="zh-CN"/>
        </w:rPr>
        <w:t>72</w:t>
      </w:r>
      <w:r>
        <w:rPr>
          <w:rFonts w:eastAsia="仿宋_GB2312"/>
          <w:sz w:val="32"/>
          <w:szCs w:val="32"/>
        </w:rPr>
        <w:t>%，主要是</w:t>
      </w:r>
      <w:r>
        <w:rPr>
          <w:rFonts w:hint="eastAsia" w:eastAsia="仿宋_GB2312"/>
          <w:sz w:val="32"/>
          <w:szCs w:val="32"/>
        </w:rPr>
        <w:t>因为2018年</w:t>
      </w:r>
      <w:r>
        <w:rPr>
          <w:rFonts w:hint="eastAsia" w:eastAsia="仿宋_GB2312"/>
          <w:sz w:val="32"/>
          <w:szCs w:val="32"/>
          <w:lang w:eastAsia="zh-CN"/>
        </w:rPr>
        <w:t>压减公务用车支出</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r>
        <w:rPr>
          <w:rFonts w:eastAsia="仿宋_GB2312"/>
          <w:sz w:val="32"/>
          <w:szCs w:val="32"/>
        </w:rPr>
        <w:t>主要是</w:t>
      </w:r>
      <w:r>
        <w:rPr>
          <w:rFonts w:hint="eastAsia" w:eastAsia="仿宋_GB2312"/>
          <w:sz w:val="32"/>
          <w:szCs w:val="32"/>
          <w:lang w:eastAsia="zh-CN"/>
        </w:rPr>
        <w:t>未发生公务用车购置费支出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0.24</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1.86</w:t>
      </w:r>
      <w:r>
        <w:rPr>
          <w:rFonts w:eastAsia="仿宋_GB2312"/>
          <w:sz w:val="32"/>
          <w:szCs w:val="32"/>
        </w:rPr>
        <w:t>万元，降低</w:t>
      </w:r>
      <w:r>
        <w:rPr>
          <w:rFonts w:hint="eastAsia" w:eastAsia="仿宋_GB2312"/>
          <w:sz w:val="32"/>
          <w:szCs w:val="32"/>
          <w:lang w:val="en-US" w:eastAsia="zh-CN"/>
        </w:rPr>
        <w:t>88.6</w:t>
      </w:r>
      <w:r>
        <w:rPr>
          <w:rFonts w:eastAsia="仿宋_GB2312"/>
          <w:sz w:val="32"/>
          <w:szCs w:val="32"/>
        </w:rPr>
        <w:t>%，主要是</w:t>
      </w:r>
      <w:r>
        <w:rPr>
          <w:rFonts w:hint="eastAsia" w:eastAsia="仿宋_GB2312"/>
          <w:sz w:val="32"/>
          <w:szCs w:val="32"/>
          <w:lang w:eastAsia="zh-CN"/>
        </w:rPr>
        <w:t>压减公务用车支出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年度决算增减少</w:t>
      </w:r>
      <w:r>
        <w:rPr>
          <w:rFonts w:hint="eastAsia" w:eastAsia="仿宋_GB2312"/>
          <w:sz w:val="32"/>
          <w:szCs w:val="32"/>
          <w:lang w:val="en-US" w:eastAsia="zh-CN"/>
        </w:rPr>
        <w:t>0.88</w:t>
      </w:r>
      <w:r>
        <w:rPr>
          <w:rFonts w:eastAsia="仿宋_GB2312"/>
          <w:sz w:val="32"/>
          <w:szCs w:val="32"/>
        </w:rPr>
        <w:t>万元，降低</w:t>
      </w:r>
      <w:r>
        <w:rPr>
          <w:rFonts w:hint="eastAsia" w:eastAsia="仿宋_GB2312"/>
          <w:sz w:val="32"/>
          <w:szCs w:val="32"/>
          <w:lang w:val="en-US" w:eastAsia="zh-CN"/>
        </w:rPr>
        <w:t>72</w:t>
      </w:r>
      <w:r>
        <w:rPr>
          <w:rFonts w:eastAsia="仿宋_GB2312"/>
          <w:sz w:val="32"/>
          <w:szCs w:val="32"/>
        </w:rPr>
        <w:t>%，主要是</w:t>
      </w:r>
      <w:r>
        <w:rPr>
          <w:rFonts w:hint="eastAsia" w:eastAsia="仿宋_GB2312"/>
          <w:sz w:val="32"/>
          <w:szCs w:val="32"/>
          <w:lang w:eastAsia="zh-CN"/>
        </w:rPr>
        <w:t>压减公务用车支出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1.26</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w:t>
      </w:r>
      <w:r>
        <w:rPr>
          <w:rFonts w:eastAsia="仿宋_GB2312"/>
          <w:sz w:val="32"/>
          <w:szCs w:val="32"/>
        </w:rPr>
        <w:t>批次、</w:t>
      </w:r>
      <w:r>
        <w:rPr>
          <w:rFonts w:hint="eastAsia" w:eastAsia="仿宋_GB2312"/>
          <w:sz w:val="32"/>
          <w:szCs w:val="32"/>
          <w:lang w:val="en-US" w:eastAsia="zh-CN"/>
        </w:rPr>
        <w:t>13</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1.26</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eastAsia="zh-CN"/>
        </w:rPr>
        <w:t>用于佛山市南海区文体局体育总会到文安考察投资费用</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2018年按照总体绩效目标，我单位认真开展了绩效管理工作。以“部门职责</w:t>
      </w:r>
      <w:r>
        <w:rPr>
          <w:rFonts w:hint="eastAsia" w:ascii="宋体" w:hAnsi="宋体" w:cs="宋体"/>
          <w:sz w:val="32"/>
          <w:szCs w:val="32"/>
        </w:rPr>
        <w:t>-工作活动</w:t>
      </w:r>
      <w:r>
        <w:rPr>
          <w:rFonts w:hint="eastAsia" w:ascii="仿宋_GB2312" w:eastAsia="仿宋_GB2312" w:cs="DengXian-Regular"/>
          <w:sz w:val="32"/>
          <w:szCs w:val="32"/>
        </w:rPr>
        <w:t>”为依据，确定部门预算项目和预算额度、清晰描述预算项目开支范围和内容，确定预算项目的绩效目标、绩效指标和评价标准，为预算绩效控制、绩效分析、绩效评价打下好的基础。</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为加强财政资金管理，提高财政资金的使用效益，遵循“科学规范、分类管理、绩效相关”的原则，运用科学、合理的绩效评价方法，对本部门2018年度重点工作预算绩效情况进行客观、公正的评价。</w:t>
      </w:r>
      <w:r>
        <w:rPr>
          <w:rFonts w:hint="eastAsia" w:ascii="仿宋_GB2312" w:eastAsia="仿宋_GB2312" w:cs="DengXian-Regular"/>
          <w:sz w:val="32"/>
          <w:szCs w:val="32"/>
          <w:lang w:eastAsia="zh-CN"/>
        </w:rPr>
        <w:t>绩效自评覆盖率达到</w:t>
      </w:r>
      <w:r>
        <w:rPr>
          <w:rFonts w:hint="eastAsia" w:ascii="仿宋_GB2312" w:eastAsia="仿宋_GB2312" w:cs="DengXian-Regular"/>
          <w:sz w:val="32"/>
          <w:szCs w:val="32"/>
          <w:lang w:val="en-US" w:eastAsia="zh-CN"/>
        </w:rPr>
        <w:t>100%。</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文化工作方面</w:t>
      </w:r>
    </w:p>
    <w:p>
      <w:p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val="en-US" w:eastAsia="zh-CN"/>
        </w:rPr>
        <w:t>（1）</w:t>
      </w:r>
      <w:r>
        <w:rPr>
          <w:rFonts w:hint="eastAsia" w:ascii="仿宋_GB2312" w:eastAsia="仿宋_GB2312" w:cs="DengXian-Regular"/>
          <w:sz w:val="32"/>
          <w:szCs w:val="32"/>
          <w:lang w:eastAsia="zh-CN"/>
        </w:rPr>
        <w:t>“双创双服”公共文化服务工程。截至到10月底,组建文艺团队11支，开展“六进”演出活动133场，针对文艺骨干组织的培训共24期1360人次。县文广新局以补贴的方式组织我县部分优秀演员筹备2场公益性演出，投资</w:t>
      </w:r>
      <w:r>
        <w:rPr>
          <w:rFonts w:hint="eastAsia" w:ascii="仿宋_GB2312" w:eastAsia="仿宋_GB2312" w:cs="DengXian-Regular"/>
          <w:sz w:val="32"/>
          <w:szCs w:val="32"/>
          <w:lang w:val="en-US" w:eastAsia="zh-CN"/>
        </w:rPr>
        <w:t>60</w:t>
      </w:r>
      <w:r>
        <w:rPr>
          <w:rFonts w:hint="eastAsia" w:ascii="仿宋_GB2312" w:eastAsia="仿宋_GB2312" w:cs="DengXian-Regular"/>
          <w:sz w:val="32"/>
          <w:szCs w:val="32"/>
          <w:lang w:eastAsia="zh-CN"/>
        </w:rPr>
        <w:t>万元招标采购了20场“双创双服文化惠民”送文化下乡演出。组织西河大鼓艺人进行“中国农民丰收节”下乡巡回演出30场。</w:t>
      </w:r>
    </w:p>
    <w:p>
      <w:pPr>
        <w:spacing w:line="640" w:lineRule="exact"/>
        <w:ind w:firstLine="640" w:firstLineChars="200"/>
        <w:rPr>
          <w:rFonts w:hint="eastAsia" w:ascii="仿宋_GB2312" w:eastAsia="仿宋_GB2312" w:cs="DengXian-Regular"/>
          <w:color w:val="0000FF"/>
          <w:sz w:val="32"/>
          <w:szCs w:val="32"/>
          <w:lang w:eastAsia="zh-CN"/>
        </w:rPr>
      </w:pPr>
      <w:r>
        <w:rPr>
          <w:rFonts w:hint="eastAsia" w:ascii="仿宋_GB2312" w:eastAsia="仿宋_GB2312" w:cs="DengXian-Regular"/>
          <w:sz w:val="32"/>
          <w:szCs w:val="32"/>
          <w:lang w:val="en-US" w:eastAsia="zh-CN"/>
        </w:rPr>
        <w:t>（2）</w:t>
      </w:r>
      <w:r>
        <w:rPr>
          <w:rFonts w:hint="eastAsia" w:ascii="仿宋_GB2312" w:eastAsia="仿宋_GB2312" w:cs="DengXian-Regular"/>
          <w:sz w:val="32"/>
          <w:szCs w:val="32"/>
          <w:lang w:eastAsia="zh-CN"/>
        </w:rPr>
        <w:t>全民读书活动。从年初开始，举办了“闹元宵·猜灯谜”有奖益智活动；利用馆内流动服务车开展流动服务20次，共计服务1200余人次；举办了文学鉴赏与文学创作名家论坛、“4.23世界读书日”阅读宣传推广活动、“阅读一本好书，写一篇读后感”有奖征文活动、21天亲子阅读活动、文安县散文学会成立大会暨散文阅读与创作论坛、“诚信赢天下”学雷锋志愿服务活动、文安县第一届国学经典诵读公益大赛、迎七一党建知识竞赛、暑期优秀视频展播、“双创双服暖人间”志愿者培训，形式多样、内容丰富的阅读推广活动，为满足广大群众的文化需求，投资20万元购置了“书香文安”阅读卡一万张、数字借阅机三台。</w:t>
      </w:r>
    </w:p>
    <w:p>
      <w:p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体育工作方面</w:t>
      </w:r>
    </w:p>
    <w:p>
      <w:pPr>
        <w:numPr>
          <w:ilvl w:val="0"/>
          <w:numId w:val="3"/>
        </w:num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体育设施建设情况。县体育场提升改造工程施工完毕,五米宽彩色沥青主路、二十余种绿植组成的绿化带、新开通的体育场大门、百米宣传橱窗长廊等建设内容的县体育场焕然一新。确定文安县体育场西侧和德归镇西德归村建设全民健身示范基地场地，文安县卫生学校作为我县的国民体质监测中心的工作场所。</w:t>
      </w:r>
    </w:p>
    <w:p>
      <w:pPr>
        <w:numPr>
          <w:ilvl w:val="0"/>
          <w:numId w:val="0"/>
        </w:num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2）筹备、举办2018年马拉松赛事。完成马拉松赛董西干渠段赛道建设。2018年文安县创城杯马拉松赛于10月15日举行，1600余名选手参加了比赛，分为6公里和12公里两个赛段，各组24名选手获得金牌，比赛在良好的组织工作和保障工作保障下顺利结束。</w:t>
      </w:r>
    </w:p>
    <w:p>
      <w:p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旅游工作方面</w:t>
      </w:r>
    </w:p>
    <w:p>
      <w:pPr>
        <w:numPr>
          <w:ilvl w:val="0"/>
          <w:numId w:val="0"/>
        </w:numPr>
        <w:spacing w:line="64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lang w:eastAsia="zh-CN"/>
        </w:rPr>
        <w:t xml:space="preserve">）完成规划编制，起草全域旅游实施方案。《文安县乡村旅游发展总体规划》和《文安县乡村旅游示范村（片区）规划》已于今年7月完成编制工作；已起草《文安县全域旅游实施意见》初稿，并报县领导审阅。这两项工作将明确我县乡村旅游发展同社会主义新农村建设工作之间存在的方向导引、产业互动和资源利用等关系，使新农村建设目标成为我县乡村旅游发展的根本目标。 </w:t>
      </w:r>
    </w:p>
    <w:p>
      <w:pPr>
        <w:numPr>
          <w:ilvl w:val="0"/>
          <w:numId w:val="0"/>
        </w:numPr>
        <w:adjustRightInd w:val="0"/>
        <w:snapToGrid w:val="0"/>
        <w:spacing w:after="0" w:line="580" w:lineRule="exact"/>
        <w:ind w:leftChars="200"/>
        <w:rPr>
          <w:rFonts w:hint="eastAsia" w:ascii="仿宋_GB2312" w:eastAsia="仿宋_GB2312" w:cs="DengXian-Regular"/>
          <w:sz w:val="32"/>
          <w:szCs w:val="32"/>
        </w:rPr>
      </w:pP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lang w:eastAsia="zh-CN"/>
        </w:rPr>
        <w:t>）与县电视台联合开办旅游宣传栏目，已拍摄《文安县旅游宣传片》12期，在县电视台黄金时段播出</w:t>
      </w:r>
      <w:r>
        <w:rPr>
          <w:rFonts w:hint="eastAsia" w:ascii="仿宋_GB2312" w:eastAsia="仿宋_GB2312" w:cs="DengXian-Regular"/>
          <w:color w:val="0000FF"/>
          <w:sz w:val="32"/>
          <w:szCs w:val="32"/>
          <w:lang w:eastAsia="zh-CN"/>
        </w:rPr>
        <w:t>。</w:t>
      </w:r>
      <w:r>
        <w:rPr>
          <w:rFonts w:hint="eastAsia" w:ascii="仿宋_GB2312" w:eastAsia="仿宋_GB2312" w:cs="DengXian-Regular"/>
          <w:color w:val="0000FF"/>
          <w:sz w:val="32"/>
          <w:szCs w:val="32"/>
          <w:lang w:val="zh-CN" w:eastAsia="zh-CN"/>
        </w:rPr>
        <w:t xml:space="preserve">      </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8.9</w:t>
      </w:r>
      <w:r>
        <w:rPr>
          <w:rFonts w:hint="eastAsia" w:ascii="仿宋_GB2312" w:eastAsia="仿宋_GB2312" w:cs="DengXian-Regular"/>
          <w:sz w:val="32"/>
          <w:szCs w:val="32"/>
        </w:rPr>
        <w:t>万元，比年初预算数</w:t>
      </w:r>
      <w:r>
        <w:rPr>
          <w:rFonts w:hint="eastAsia" w:eastAsia="仿宋_GB2312"/>
          <w:sz w:val="32"/>
          <w:szCs w:val="32"/>
        </w:rPr>
        <w:t>减少</w:t>
      </w:r>
      <w:r>
        <w:rPr>
          <w:rFonts w:hint="eastAsia" w:eastAsia="仿宋_GB2312"/>
          <w:sz w:val="32"/>
          <w:szCs w:val="32"/>
          <w:lang w:val="en-US" w:eastAsia="zh-CN"/>
        </w:rPr>
        <w:t>22.28</w:t>
      </w:r>
      <w:r>
        <w:rPr>
          <w:rFonts w:hint="eastAsia" w:ascii="仿宋_GB2312" w:eastAsia="仿宋_GB2312" w:cs="DengXian-Regular"/>
          <w:sz w:val="32"/>
          <w:szCs w:val="32"/>
        </w:rPr>
        <w:t>万元，降低</w:t>
      </w:r>
      <w:r>
        <w:rPr>
          <w:rFonts w:hint="eastAsia" w:eastAsia="仿宋_GB2312"/>
          <w:sz w:val="32"/>
          <w:szCs w:val="32"/>
          <w:lang w:val="en-US" w:eastAsia="zh-CN"/>
        </w:rPr>
        <w:t>71</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公务用车运行维护费的减少</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1.21</w:t>
      </w:r>
      <w:r>
        <w:rPr>
          <w:rFonts w:eastAsia="仿宋_GB2312"/>
          <w:sz w:val="32"/>
          <w:szCs w:val="32"/>
        </w:rPr>
        <w:t>万元，降低</w:t>
      </w:r>
      <w:r>
        <w:rPr>
          <w:rFonts w:hint="eastAsia" w:eastAsia="仿宋_GB2312"/>
          <w:sz w:val="32"/>
          <w:szCs w:val="32"/>
          <w:lang w:val="en-US" w:eastAsia="zh-CN"/>
        </w:rPr>
        <w:t>12</w:t>
      </w:r>
      <w:r>
        <w:rPr>
          <w:rFonts w:eastAsia="仿宋_GB2312"/>
          <w:sz w:val="32"/>
          <w:szCs w:val="32"/>
        </w:rPr>
        <w:t>%，主要是</w:t>
      </w:r>
      <w:r>
        <w:rPr>
          <w:rFonts w:hint="eastAsia" w:eastAsia="仿宋_GB2312"/>
          <w:sz w:val="32"/>
          <w:szCs w:val="32"/>
          <w:lang w:eastAsia="zh-CN"/>
        </w:rPr>
        <w:t>公务用车运行维护费的减少</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286.60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eastAsia="仿宋_GB2312" w:cs="DengXian-Regular"/>
          <w:sz w:val="32"/>
          <w:szCs w:val="32"/>
          <w:lang w:val="en-US" w:eastAsia="zh-CN"/>
        </w:rPr>
        <w:t>226.80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eastAsia="仿宋_GB2312" w:cs="DengXian-Regular"/>
          <w:sz w:val="32"/>
          <w:szCs w:val="32"/>
          <w:lang w:val="en-US" w:eastAsia="zh-CN"/>
        </w:rPr>
        <w:t>59.80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无购置车辆</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文化流动服务车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未购置</w:t>
      </w:r>
      <w:r>
        <w:rPr>
          <w:rFonts w:hint="eastAsia" w:ascii="仿宋_GB2312" w:eastAsia="仿宋_GB2312" w:cs="DengXian-Regular"/>
          <w:sz w:val="32"/>
          <w:szCs w:val="32"/>
          <w:lang w:val="en-US" w:eastAsia="zh-CN"/>
        </w:rPr>
        <w:t>50万元以上通用设备</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未购置</w:t>
      </w:r>
      <w:r>
        <w:rPr>
          <w:rFonts w:hint="eastAsia" w:ascii="仿宋_GB2312" w:eastAsia="仿宋_GB2312" w:cs="DengXian-Regular"/>
          <w:sz w:val="32"/>
          <w:szCs w:val="32"/>
          <w:lang w:val="en-US" w:eastAsia="zh-CN"/>
        </w:rPr>
        <w:t>100万元以上通用设备</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1、本部门2018年度国有资本经营无收支及结转结余情况，故国有资本经营表以空表列示。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FFAAD2-6E60-40FC-8896-65F5F719E0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6403FBD3-9C14-49DE-88D9-BB16C0837445}"/>
  </w:font>
  <w:font w:name="仿宋_GB2312">
    <w:panose1 w:val="02010609030101010101"/>
    <w:charset w:val="86"/>
    <w:family w:val="modern"/>
    <w:pitch w:val="default"/>
    <w:sig w:usb0="00000000" w:usb1="00000000" w:usb2="00000000" w:usb3="00000000" w:csb0="00000000" w:csb1="00000000"/>
    <w:embedRegular r:id="rId3" w:fontKey="{00A01289-32CE-4F7E-9C1A-BFE91A87597F}"/>
  </w:font>
  <w:font w:name="ArialUnicodeMS">
    <w:altName w:val="Dotum"/>
    <w:panose1 w:val="00000000000000000000"/>
    <w:charset w:val="81"/>
    <w:family w:val="auto"/>
    <w:pitch w:val="default"/>
    <w:sig w:usb0="00000000" w:usb1="00000000" w:usb2="00000010" w:usb3="00000000" w:csb0="00080001" w:csb1="00000000"/>
    <w:embedRegular r:id="rId4" w:fontKey="{AB809DC2-27C0-4EE5-8123-3A6B58AC93E2}"/>
  </w:font>
  <w:font w:name="MS-UIGothic,Bold">
    <w:altName w:val="Dotum"/>
    <w:panose1 w:val="00000000000000000000"/>
    <w:charset w:val="81"/>
    <w:family w:val="auto"/>
    <w:pitch w:val="default"/>
    <w:sig w:usb0="00000000" w:usb1="00000000" w:usb2="00000010" w:usb3="00000000" w:csb0="00080000" w:csb1="00000000"/>
    <w:embedRegular r:id="rId5" w:fontKey="{5234B31F-2DB8-49A1-9E31-483411D8D16B}"/>
  </w:font>
  <w:font w:name="DengXian-Regular">
    <w:altName w:val="宋体"/>
    <w:panose1 w:val="00000000000000000000"/>
    <w:charset w:val="86"/>
    <w:family w:val="auto"/>
    <w:pitch w:val="default"/>
    <w:sig w:usb0="00000000" w:usb1="00000000" w:usb2="00000010" w:usb3="00000000" w:csb0="00040001" w:csb1="00000000"/>
    <w:embedRegular r:id="rId6" w:fontKey="{053C695E-F873-44A1-A7B1-E2A402E11D47}"/>
  </w:font>
  <w:font w:name="楷体_GB2312">
    <w:panose1 w:val="02010609030101010101"/>
    <w:charset w:val="86"/>
    <w:family w:val="modern"/>
    <w:pitch w:val="default"/>
    <w:sig w:usb0="00000000" w:usb1="00000000" w:usb2="00000000" w:usb3="00000000" w:csb0="00000000" w:csb1="00000000"/>
    <w:embedRegular r:id="rId7" w:fontKey="{67A52BD3-63A5-46D8-871C-42BE21BE31E7}"/>
  </w:font>
  <w:font w:name="DengXian-Bold">
    <w:altName w:val="宋体"/>
    <w:panose1 w:val="00000000000000000000"/>
    <w:charset w:val="86"/>
    <w:family w:val="auto"/>
    <w:pitch w:val="default"/>
    <w:sig w:usb0="00000000" w:usb1="00000000" w:usb2="00000010" w:usb3="00000000" w:csb0="00040001" w:csb1="00000000"/>
    <w:embedRegular r:id="rId8" w:fontKey="{7A05E650-A6EA-4F9B-A57C-AB646426C52E}"/>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DD761"/>
    <w:multiLevelType w:val="singleLevel"/>
    <w:tmpl w:val="88CDD761"/>
    <w:lvl w:ilvl="0" w:tentative="0">
      <w:start w:val="2"/>
      <w:numFmt w:val="chineseCounting"/>
      <w:suff w:val="nothing"/>
      <w:lvlText w:val="（%1）"/>
      <w:lvlJc w:val="left"/>
      <w:rPr>
        <w:rFonts w:hint="eastAsia"/>
      </w:rPr>
    </w:lvl>
  </w:abstractNum>
  <w:abstractNum w:abstractNumId="1">
    <w:nsid w:val="AB961ADE"/>
    <w:multiLevelType w:val="singleLevel"/>
    <w:tmpl w:val="AB961ADE"/>
    <w:lvl w:ilvl="0" w:tentative="0">
      <w:start w:val="1"/>
      <w:numFmt w:val="decimal"/>
      <w:suff w:val="nothing"/>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20FAF"/>
    <w:rsid w:val="00022474"/>
    <w:rsid w:val="00024E7F"/>
    <w:rsid w:val="000475A0"/>
    <w:rsid w:val="00067693"/>
    <w:rsid w:val="000838C3"/>
    <w:rsid w:val="000946B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D411D"/>
    <w:rsid w:val="00EF38C6"/>
    <w:rsid w:val="00F679C7"/>
    <w:rsid w:val="00F7711A"/>
    <w:rsid w:val="00F80C72"/>
    <w:rsid w:val="00FA0D58"/>
    <w:rsid w:val="00FA1580"/>
    <w:rsid w:val="00FA56F4"/>
    <w:rsid w:val="00FB4EDA"/>
    <w:rsid w:val="00FD3BD5"/>
    <w:rsid w:val="00FE3DC8"/>
    <w:rsid w:val="04073F84"/>
    <w:rsid w:val="077E1B50"/>
    <w:rsid w:val="0B60750A"/>
    <w:rsid w:val="0F4A0A24"/>
    <w:rsid w:val="10686488"/>
    <w:rsid w:val="10DF728A"/>
    <w:rsid w:val="1264200E"/>
    <w:rsid w:val="141C5B77"/>
    <w:rsid w:val="18D8339D"/>
    <w:rsid w:val="1A21388F"/>
    <w:rsid w:val="1A570D2F"/>
    <w:rsid w:val="240D7002"/>
    <w:rsid w:val="264F6FE6"/>
    <w:rsid w:val="28FB0B8D"/>
    <w:rsid w:val="2D2B7942"/>
    <w:rsid w:val="2D46481D"/>
    <w:rsid w:val="2D6B365F"/>
    <w:rsid w:val="2E733B28"/>
    <w:rsid w:val="31852B5A"/>
    <w:rsid w:val="32D01238"/>
    <w:rsid w:val="3DFC59A8"/>
    <w:rsid w:val="3ECF245E"/>
    <w:rsid w:val="3FB96314"/>
    <w:rsid w:val="53A44FAF"/>
    <w:rsid w:val="594329EC"/>
    <w:rsid w:val="5BEE1540"/>
    <w:rsid w:val="5DE61A5D"/>
    <w:rsid w:val="5F187B5A"/>
    <w:rsid w:val="63C04243"/>
    <w:rsid w:val="649C01C7"/>
    <w:rsid w:val="650522BD"/>
    <w:rsid w:val="699A3F60"/>
    <w:rsid w:val="72902E62"/>
    <w:rsid w:val="73C61104"/>
    <w:rsid w:val="776452EA"/>
    <w:rsid w:val="79C37FC2"/>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1659</Words>
  <Characters>9459</Characters>
  <Lines>78</Lines>
  <Paragraphs>22</Paragraphs>
  <TotalTime>22</TotalTime>
  <ScaleCrop>false</ScaleCrop>
  <LinksUpToDate>false</LinksUpToDate>
  <CharactersWithSpaces>11096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2023-07-25T08:48:04Z</dcterms:modified>
  <dc:subject>石家庄市xxx部门</dc:subject>
  <dc:title>2017年度部门决算</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